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994FB5" w:rsidRDefault="00F92268" w:rsidP="00850792">
      <w:pPr>
        <w:pStyle w:val="BodyText"/>
        <w:rPr>
          <w:sz w:val="6"/>
          <w:szCs w:val="6"/>
        </w:rPr>
      </w:pPr>
      <w:r w:rsidRPr="00994FB5">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994FB5"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994FB5" w:rsidRDefault="00F92268" w:rsidP="00F246C7">
            <w:pPr>
              <w:pStyle w:val="RefTableData"/>
            </w:pPr>
            <w:r w:rsidRPr="00994FB5">
              <w:t>Reference number(s)</w:t>
            </w:r>
          </w:p>
        </w:tc>
      </w:tr>
      <w:tr w:rsidR="00F92268" w:rsidRPr="00994FB5"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B097BFF" w:rsidR="00F92268" w:rsidRPr="00994FB5" w:rsidRDefault="00E86065" w:rsidP="00F246C7">
            <w:pPr>
              <w:pStyle w:val="RefTableHeader"/>
            </w:pPr>
            <w:r w:rsidRPr="00994FB5">
              <w:t>2903-A</w:t>
            </w:r>
          </w:p>
        </w:tc>
      </w:tr>
    </w:tbl>
    <w:p w14:paraId="74FBA5B4" w14:textId="77777777" w:rsidR="00051356" w:rsidRPr="00994FB5" w:rsidRDefault="00051356" w:rsidP="00A672B3">
      <w:pPr>
        <w:pStyle w:val="BodyText"/>
        <w:rPr>
          <w:b/>
          <w:bCs/>
          <w:sz w:val="16"/>
          <w:szCs w:val="16"/>
        </w:rPr>
        <w:sectPr w:rsidR="00051356" w:rsidRPr="00994FB5" w:rsidSect="00D271C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4CE3E4C" w:rsidR="004B15BB" w:rsidRPr="00994FB5" w:rsidRDefault="00A66724" w:rsidP="00A66724">
      <w:pPr>
        <w:pStyle w:val="Heading1"/>
      </w:pPr>
      <w:r w:rsidRPr="00994FB5">
        <w:t>Specialty Guideline Management</w:t>
      </w:r>
      <w:r w:rsidRPr="00994FB5">
        <w:br/>
        <w:t>fulvestrant</w:t>
      </w:r>
      <w:r w:rsidR="006077E1">
        <w:t>-</w:t>
      </w:r>
      <w:r w:rsidR="006077E1" w:rsidRPr="00994FB5">
        <w:t>Faslodex</w:t>
      </w:r>
    </w:p>
    <w:p w14:paraId="78861C92" w14:textId="77389A76" w:rsidR="00203468" w:rsidRPr="00994FB5" w:rsidRDefault="00C64534" w:rsidP="008E0F0D">
      <w:pPr>
        <w:pStyle w:val="Heading2"/>
      </w:pPr>
      <w:r w:rsidRPr="00994FB5">
        <w:t xml:space="preserve">Products Referenced by this </w:t>
      </w:r>
      <w:r w:rsidR="00501602" w:rsidRPr="00994FB5">
        <w:t>Document</w:t>
      </w:r>
    </w:p>
    <w:p w14:paraId="5455152B" w14:textId="518A8B31" w:rsidR="008E0F0D" w:rsidRPr="00994FB5" w:rsidRDefault="00D82D85" w:rsidP="008B73E8">
      <w:pPr>
        <w:pStyle w:val="BodyText"/>
      </w:pPr>
      <w:r w:rsidRPr="00994FB5">
        <w:t xml:space="preserve">Drugs that are listed in the </w:t>
      </w:r>
      <w:r w:rsidR="000315F1" w:rsidRPr="00994FB5">
        <w:t>following table</w:t>
      </w:r>
      <w:r w:rsidRPr="00994FB5">
        <w:t xml:space="preserve"> include both brand and generic and all dosage forms and strengths unless otherwise stated. </w:t>
      </w:r>
      <w:r w:rsidR="00C25CD8" w:rsidRPr="00C25CD8">
        <w:t>Over-the-counter (OTC)</w:t>
      </w:r>
      <w:r w:rsidR="00C25CD8" w:rsidRPr="00C25CD8" w:rsidDel="00C25CD8">
        <w:t xml:space="preserve"> </w:t>
      </w:r>
      <w:r w:rsidRPr="00994FB5">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994FB5" w14:paraId="158421F8" w14:textId="77777777" w:rsidTr="000C5A6F">
        <w:trPr>
          <w:cantSplit/>
          <w:trHeight w:val="288"/>
          <w:tblHeader/>
        </w:trPr>
        <w:tc>
          <w:tcPr>
            <w:tcW w:w="5265" w:type="dxa"/>
            <w:vAlign w:val="center"/>
          </w:tcPr>
          <w:p w14:paraId="2A27354A" w14:textId="1390179E" w:rsidR="00252CE1" w:rsidRPr="00994FB5" w:rsidRDefault="00252CE1" w:rsidP="00AA1E6A">
            <w:pPr>
              <w:pStyle w:val="TableHeader"/>
            </w:pPr>
            <w:bookmarkStart w:id="0" w:name="_Hlk159603270"/>
            <w:r w:rsidRPr="00994FB5">
              <w:t>Brand Name</w:t>
            </w:r>
          </w:p>
        </w:tc>
        <w:tc>
          <w:tcPr>
            <w:tcW w:w="5595" w:type="dxa"/>
            <w:vAlign w:val="center"/>
          </w:tcPr>
          <w:p w14:paraId="3D342BE1" w14:textId="75F11EF1" w:rsidR="00252CE1" w:rsidRPr="00994FB5" w:rsidRDefault="00252CE1" w:rsidP="00AA1E6A">
            <w:pPr>
              <w:pStyle w:val="TableHeader"/>
            </w:pPr>
            <w:r w:rsidRPr="00994FB5">
              <w:t>Generic Name</w:t>
            </w:r>
          </w:p>
        </w:tc>
      </w:tr>
      <w:tr w:rsidR="00585FFF" w:rsidRPr="00994FB5" w14:paraId="2AD5C02D" w14:textId="77777777" w:rsidTr="000C5A6F">
        <w:trPr>
          <w:cantSplit/>
        </w:trPr>
        <w:tc>
          <w:tcPr>
            <w:tcW w:w="5265" w:type="dxa"/>
          </w:tcPr>
          <w:p w14:paraId="2D8FA8E3" w14:textId="547CD2D8" w:rsidR="00585FFF" w:rsidRPr="00994FB5" w:rsidRDefault="00A66724" w:rsidP="00E82ABA">
            <w:pPr>
              <w:pStyle w:val="TableDataUnpadded"/>
            </w:pPr>
            <w:proofErr w:type="spellStart"/>
            <w:r w:rsidRPr="00994FB5">
              <w:t>Faslodex</w:t>
            </w:r>
            <w:proofErr w:type="spellEnd"/>
          </w:p>
        </w:tc>
        <w:tc>
          <w:tcPr>
            <w:tcW w:w="5595" w:type="dxa"/>
          </w:tcPr>
          <w:p w14:paraId="7E26A004" w14:textId="498B87E7" w:rsidR="00585FFF" w:rsidRPr="00994FB5" w:rsidRDefault="00A66724" w:rsidP="00E82ABA">
            <w:pPr>
              <w:pStyle w:val="TableDataUnpadded"/>
            </w:pPr>
            <w:proofErr w:type="spellStart"/>
            <w:r w:rsidRPr="00994FB5">
              <w:t>fulvestrant</w:t>
            </w:r>
            <w:proofErr w:type="spellEnd"/>
          </w:p>
        </w:tc>
      </w:tr>
    </w:tbl>
    <w:bookmarkEnd w:id="0"/>
    <w:p w14:paraId="14CE6108" w14:textId="4CC6D26D" w:rsidR="00FC1AAD" w:rsidRPr="00994FB5" w:rsidRDefault="00ED052F" w:rsidP="00AA2A94">
      <w:pPr>
        <w:pStyle w:val="Heading2"/>
        <w:tabs>
          <w:tab w:val="left" w:pos="9540"/>
        </w:tabs>
      </w:pPr>
      <w:r w:rsidRPr="00994FB5">
        <w:t>Indications</w:t>
      </w:r>
    </w:p>
    <w:p w14:paraId="1B0F39DA" w14:textId="44537D92" w:rsidR="00A66724" w:rsidRPr="00994FB5" w:rsidRDefault="00A66724" w:rsidP="00A66724">
      <w:pPr>
        <w:pStyle w:val="BodyText"/>
      </w:pPr>
      <w:r w:rsidRPr="00994FB5">
        <w:t>The indications below including FDA-approved indications and compendial uses are considered a covered benefit provided that all the approval criteria are met and the member has no exclusions to the prescribed therapy.</w:t>
      </w:r>
    </w:p>
    <w:p w14:paraId="134B5687" w14:textId="083DD93C" w:rsidR="00ED052F" w:rsidRPr="00994FB5" w:rsidRDefault="00ED052F" w:rsidP="00ED052F">
      <w:pPr>
        <w:pStyle w:val="Heading3"/>
        <w:keepNext w:val="0"/>
      </w:pPr>
      <w:r w:rsidRPr="00994FB5">
        <w:t>FDA-</w:t>
      </w:r>
      <w:r w:rsidR="00EB163B">
        <w:t>a</w:t>
      </w:r>
      <w:r w:rsidR="00EB163B" w:rsidRPr="00994FB5">
        <w:t xml:space="preserve">pproved </w:t>
      </w:r>
      <w:r w:rsidRPr="00994FB5">
        <w:t>Indications</w:t>
      </w:r>
      <w:r w:rsidR="00A66724" w:rsidRPr="00994FB5">
        <w:rPr>
          <w:vertAlign w:val="superscript"/>
        </w:rPr>
        <w:t>1,2</w:t>
      </w:r>
    </w:p>
    <w:p w14:paraId="7DF20AE1" w14:textId="47C38E35" w:rsidR="00A66724" w:rsidRPr="00994FB5" w:rsidRDefault="00A66724" w:rsidP="00A66724">
      <w:pPr>
        <w:pStyle w:val="BodyText"/>
      </w:pPr>
      <w:proofErr w:type="spellStart"/>
      <w:r w:rsidRPr="00994FB5">
        <w:t>Faslodex</w:t>
      </w:r>
      <w:proofErr w:type="spellEnd"/>
      <w:r w:rsidRPr="00994FB5">
        <w:t xml:space="preserve"> is indicated for the treatment of:</w:t>
      </w:r>
    </w:p>
    <w:p w14:paraId="499864CE" w14:textId="34335369" w:rsidR="00A66724" w:rsidRPr="00994FB5" w:rsidRDefault="00A66724" w:rsidP="00A66724">
      <w:pPr>
        <w:pStyle w:val="ListParagraph"/>
      </w:pPr>
      <w:r w:rsidRPr="00994FB5">
        <w:t>Hormone receptor (HR)-positive, human epidermal growth factor receptor 2 (HER2)-negative advanced breast cancer in postmenopausal women not previously treated with endocrine therapy.</w:t>
      </w:r>
    </w:p>
    <w:p w14:paraId="76601178" w14:textId="3013B305" w:rsidR="00A66724" w:rsidRPr="00994FB5" w:rsidRDefault="00A66724" w:rsidP="00A66724">
      <w:pPr>
        <w:pStyle w:val="ListParagraph"/>
      </w:pPr>
      <w:r w:rsidRPr="00994FB5">
        <w:t>HR-positive advanced breast cancer in postmenopausal women with disease progression following endocrine therapy.</w:t>
      </w:r>
    </w:p>
    <w:p w14:paraId="5E8B123E" w14:textId="7EC7926A" w:rsidR="00A66724" w:rsidRPr="00994FB5" w:rsidRDefault="00A66724" w:rsidP="00A66724">
      <w:pPr>
        <w:pStyle w:val="ListParagraph"/>
      </w:pPr>
      <w:r w:rsidRPr="00994FB5">
        <w:t xml:space="preserve">HR-positive, HER2-negative advanced or metastatic breast cancer in postmenopausal women in combination with </w:t>
      </w:r>
      <w:proofErr w:type="spellStart"/>
      <w:r w:rsidRPr="00994FB5">
        <w:t>ribociclib</w:t>
      </w:r>
      <w:proofErr w:type="spellEnd"/>
      <w:r w:rsidRPr="00994FB5">
        <w:t>, as initial endocrine based therapy or following disease progression on endocrine therapy.</w:t>
      </w:r>
    </w:p>
    <w:p w14:paraId="4C434745" w14:textId="17BFC418" w:rsidR="00ED052F" w:rsidRPr="00994FB5" w:rsidRDefault="00A66724" w:rsidP="0079631A">
      <w:pPr>
        <w:pStyle w:val="ListParagraph"/>
        <w:spacing w:after="0"/>
      </w:pPr>
      <w:r w:rsidRPr="00994FB5">
        <w:t xml:space="preserve">HR-positive, HER2-negative advanced or metastatic breast cancer in combination with palbociclib or </w:t>
      </w:r>
      <w:proofErr w:type="spellStart"/>
      <w:r w:rsidRPr="00994FB5">
        <w:t>abemaciclib</w:t>
      </w:r>
      <w:proofErr w:type="spellEnd"/>
      <w:r w:rsidRPr="00994FB5">
        <w:t xml:space="preserve"> in women with disease progression after endocrine therapy</w:t>
      </w:r>
    </w:p>
    <w:p w14:paraId="0B5EC236" w14:textId="4948F746" w:rsidR="0044763A" w:rsidRPr="00994FB5" w:rsidRDefault="009F2EF1" w:rsidP="0044763A">
      <w:pPr>
        <w:pStyle w:val="Heading3"/>
      </w:pPr>
      <w:r w:rsidRPr="00994FB5">
        <w:lastRenderedPageBreak/>
        <w:t>Compendial Uses</w:t>
      </w:r>
      <w:r w:rsidR="00A66724" w:rsidRPr="00994FB5">
        <w:rPr>
          <w:vertAlign w:val="superscript"/>
        </w:rPr>
        <w:t>3</w:t>
      </w:r>
    </w:p>
    <w:p w14:paraId="73EF8F1D" w14:textId="77777777" w:rsidR="00A66724" w:rsidRPr="00994FB5" w:rsidRDefault="00A66724" w:rsidP="00A66724">
      <w:pPr>
        <w:pStyle w:val="ListParagraph"/>
        <w:numPr>
          <w:ilvl w:val="0"/>
          <w:numId w:val="29"/>
        </w:numPr>
        <w:ind w:left="720"/>
      </w:pPr>
      <w:r w:rsidRPr="00994FB5">
        <w:t>Breast cancer</w:t>
      </w:r>
    </w:p>
    <w:p w14:paraId="4852394E" w14:textId="77777777" w:rsidR="00A66724" w:rsidRPr="00994FB5" w:rsidRDefault="00A66724" w:rsidP="00A66724">
      <w:pPr>
        <w:pStyle w:val="ListParagraph"/>
        <w:numPr>
          <w:ilvl w:val="0"/>
          <w:numId w:val="29"/>
        </w:numPr>
        <w:ind w:left="720"/>
      </w:pPr>
      <w:r w:rsidRPr="00994FB5">
        <w:t>Low grade serous ovarian carcinoma</w:t>
      </w:r>
    </w:p>
    <w:p w14:paraId="156D4339" w14:textId="0F43218F" w:rsidR="00A66724" w:rsidRPr="00994FB5" w:rsidRDefault="00A66724" w:rsidP="00A66724">
      <w:pPr>
        <w:pStyle w:val="ListParagraph"/>
        <w:numPr>
          <w:ilvl w:val="0"/>
          <w:numId w:val="29"/>
        </w:numPr>
        <w:ind w:left="720"/>
      </w:pPr>
      <w:r w:rsidRPr="00994FB5">
        <w:t>Endometrial carcinoma</w:t>
      </w:r>
    </w:p>
    <w:p w14:paraId="16ACB64E" w14:textId="1D6B185C" w:rsidR="00A66724" w:rsidRPr="00994FB5" w:rsidRDefault="00A66724" w:rsidP="0079631A">
      <w:pPr>
        <w:pStyle w:val="ListParagraph"/>
        <w:numPr>
          <w:ilvl w:val="0"/>
          <w:numId w:val="29"/>
        </w:numPr>
        <w:spacing w:after="120"/>
        <w:ind w:left="720"/>
      </w:pPr>
      <w:r w:rsidRPr="00994FB5">
        <w:t>Uterine sarcoma</w:t>
      </w:r>
    </w:p>
    <w:p w14:paraId="0D5A9DD5" w14:textId="7ADA8A6D" w:rsidR="009A5649" w:rsidRDefault="00A66724" w:rsidP="0079631A">
      <w:pPr>
        <w:pStyle w:val="BodyText"/>
        <w:spacing w:after="0"/>
      </w:pPr>
      <w:r w:rsidRPr="00994FB5">
        <w:t xml:space="preserve">All other </w:t>
      </w:r>
      <w:r w:rsidRPr="0079631A">
        <w:t>indications</w:t>
      </w:r>
      <w:r w:rsidRPr="00994FB5">
        <w:t xml:space="preserve"> are considered experimental/investigational and not medically necessary.</w:t>
      </w:r>
    </w:p>
    <w:p w14:paraId="71C6692D" w14:textId="7AC4996B" w:rsidR="00D32480" w:rsidRPr="00D32480" w:rsidRDefault="00D32480" w:rsidP="00D32480">
      <w:pPr>
        <w:pStyle w:val="Heading2"/>
      </w:pPr>
      <w:r w:rsidRPr="00D32480">
        <w:t>Documentation</w:t>
      </w:r>
    </w:p>
    <w:p w14:paraId="046285E8" w14:textId="77777777" w:rsidR="00D32480" w:rsidRPr="00D32480" w:rsidRDefault="00D32480" w:rsidP="00D32480">
      <w:pPr>
        <w:pStyle w:val="BodyText"/>
      </w:pPr>
      <w:r w:rsidRPr="00D32480">
        <w:t>Submission of hormone receptor (HR) status is necessary to initiate the prior authorization review, where applicable.</w:t>
      </w:r>
    </w:p>
    <w:p w14:paraId="50A38FBA" w14:textId="309237BF" w:rsidR="00FE0C63" w:rsidRPr="00994FB5" w:rsidRDefault="00685107" w:rsidP="00E050E1">
      <w:pPr>
        <w:pStyle w:val="Heading2"/>
      </w:pPr>
      <w:r w:rsidRPr="00994FB5">
        <w:t>Coverage Criteria</w:t>
      </w:r>
    </w:p>
    <w:p w14:paraId="778001B4" w14:textId="77777777" w:rsidR="00A66724" w:rsidRPr="00994FB5" w:rsidRDefault="00A66724" w:rsidP="0079631A">
      <w:pPr>
        <w:pStyle w:val="Heading3"/>
      </w:pPr>
      <w:r w:rsidRPr="0079631A">
        <w:t>Breast</w:t>
      </w:r>
      <w:r w:rsidRPr="00994FB5">
        <w:t xml:space="preserve"> Cancer</w:t>
      </w:r>
      <w:r w:rsidRPr="00994FB5">
        <w:rPr>
          <w:vertAlign w:val="superscript"/>
        </w:rPr>
        <w:t>1-3</w:t>
      </w:r>
    </w:p>
    <w:p w14:paraId="7B165460" w14:textId="76C1E3DA" w:rsidR="00A66724" w:rsidRPr="00994FB5" w:rsidRDefault="00A66724" w:rsidP="00A66724">
      <w:pPr>
        <w:pStyle w:val="BodyText"/>
      </w:pPr>
      <w:r w:rsidRPr="00994FB5">
        <w:t>Authorization of 12 months may be granted for treatment of recurrent, advanced, or metastatic HR-positive breast cancer.</w:t>
      </w:r>
    </w:p>
    <w:p w14:paraId="22AFE7E7" w14:textId="77777777" w:rsidR="00A66724" w:rsidRPr="00994FB5" w:rsidRDefault="00A66724" w:rsidP="0079631A">
      <w:pPr>
        <w:pStyle w:val="Heading3"/>
      </w:pPr>
      <w:r w:rsidRPr="00994FB5">
        <w:t xml:space="preserve">Low </w:t>
      </w:r>
      <w:r w:rsidRPr="0079631A">
        <w:t>Grade</w:t>
      </w:r>
      <w:r w:rsidRPr="00994FB5">
        <w:t xml:space="preserve"> Serous Ovarian Carcinoma</w:t>
      </w:r>
      <w:r w:rsidRPr="00994FB5">
        <w:rPr>
          <w:vertAlign w:val="superscript"/>
        </w:rPr>
        <w:t>3</w:t>
      </w:r>
    </w:p>
    <w:p w14:paraId="78830C1D" w14:textId="374F3D30" w:rsidR="00A66724" w:rsidRPr="00994FB5" w:rsidRDefault="00A66724" w:rsidP="00A66724">
      <w:pPr>
        <w:pStyle w:val="BodyText"/>
      </w:pPr>
      <w:r w:rsidRPr="00994FB5">
        <w:t>Authorization of 12 months may be granted for treatment of recurrence of low-grade serous ovarian carcinoma as a single agent for members who previously received an aromatase inhibitor (e.g., letrozole, anastrozole, exemestane).</w:t>
      </w:r>
    </w:p>
    <w:p w14:paraId="5674A500" w14:textId="0DD45DFD" w:rsidR="00A66724" w:rsidRPr="00994FB5" w:rsidRDefault="00A66724" w:rsidP="0079631A">
      <w:pPr>
        <w:pStyle w:val="Heading3"/>
      </w:pPr>
      <w:r w:rsidRPr="0079631A">
        <w:t>Endometrial</w:t>
      </w:r>
      <w:r w:rsidRPr="00994FB5">
        <w:t xml:space="preserve"> </w:t>
      </w:r>
      <w:r w:rsidR="009769E6" w:rsidRPr="00994FB5">
        <w:t>Carcinoma</w:t>
      </w:r>
      <w:r w:rsidR="009769E6" w:rsidRPr="00994FB5">
        <w:rPr>
          <w:vertAlign w:val="superscript"/>
        </w:rPr>
        <w:t>3</w:t>
      </w:r>
    </w:p>
    <w:p w14:paraId="75290119" w14:textId="4B1FC8E2" w:rsidR="00A66724" w:rsidRDefault="00A66724" w:rsidP="00A66724">
      <w:pPr>
        <w:pStyle w:val="BodyText"/>
      </w:pPr>
      <w:r w:rsidRPr="00994FB5">
        <w:t>Authorization of 12 months may be granted for treatment of endometrial carcinoma as a single agent.</w:t>
      </w:r>
    </w:p>
    <w:p w14:paraId="411C0A9A" w14:textId="673B2709" w:rsidR="00A66724" w:rsidRPr="00994FB5" w:rsidRDefault="00A66724" w:rsidP="0079631A">
      <w:pPr>
        <w:pStyle w:val="Heading3"/>
      </w:pPr>
      <w:r w:rsidRPr="0079631A">
        <w:t>Uterine</w:t>
      </w:r>
      <w:r w:rsidRPr="00994FB5">
        <w:t xml:space="preserve"> </w:t>
      </w:r>
      <w:r w:rsidR="009769E6" w:rsidRPr="00994FB5">
        <w:t>Sarcoma</w:t>
      </w:r>
      <w:r w:rsidR="009769E6" w:rsidRPr="00994FB5">
        <w:rPr>
          <w:vertAlign w:val="superscript"/>
        </w:rPr>
        <w:t>3</w:t>
      </w:r>
    </w:p>
    <w:p w14:paraId="554B6E8F" w14:textId="6361F886" w:rsidR="00B836B0" w:rsidRDefault="00A66724" w:rsidP="0079631A">
      <w:pPr>
        <w:pStyle w:val="BodyText"/>
        <w:spacing w:after="0"/>
      </w:pPr>
      <w:r w:rsidRPr="00994FB5">
        <w:t>Authorization of 12 months may be granted for treatment of low-grade endometrial stromal sarcoma (ESS), adenosarcoma without sarcomatous overgrowth, or estrogen receptor/progesterone receptor positive (ER/PR+) uterine sarcomas as a single agent.</w:t>
      </w:r>
    </w:p>
    <w:p w14:paraId="3A643EC3" w14:textId="3DBB9B4E" w:rsidR="00A501AC" w:rsidRPr="00994FB5" w:rsidRDefault="00A501AC" w:rsidP="00611FE9">
      <w:pPr>
        <w:pStyle w:val="Heading2"/>
        <w:widowControl w:val="0"/>
      </w:pPr>
      <w:r w:rsidRPr="00994FB5">
        <w:t>Continuation of Therapy</w:t>
      </w:r>
    </w:p>
    <w:p w14:paraId="32C8905D" w14:textId="3F342C51" w:rsidR="00A501AC" w:rsidRPr="00994FB5" w:rsidRDefault="00A66724" w:rsidP="0079631A">
      <w:pPr>
        <w:pStyle w:val="BodyText"/>
        <w:widowControl w:val="0"/>
      </w:pPr>
      <w:r w:rsidRPr="00994FB5">
        <w:t>Authorization of 12 months may be granted for continued treatment in members requesting reauthorization for an indication listed in the coverage criteria when there is no evidence of unacceptable toxicity or disease progression while on the current regimen.</w:t>
      </w:r>
    </w:p>
    <w:p w14:paraId="10DA4309" w14:textId="6141DBDF" w:rsidR="00FF66BF" w:rsidRPr="00994FB5" w:rsidRDefault="00FF66BF" w:rsidP="00FF66BF">
      <w:pPr>
        <w:pStyle w:val="Heading2"/>
      </w:pPr>
      <w:r w:rsidRPr="00994FB5">
        <w:t>References</w:t>
      </w:r>
    </w:p>
    <w:p w14:paraId="10CE7808" w14:textId="77777777" w:rsidR="00A66724" w:rsidRPr="0079631A" w:rsidRDefault="00A66724" w:rsidP="0079631A">
      <w:pPr>
        <w:pStyle w:val="ReferenceOrdered"/>
      </w:pPr>
      <w:proofErr w:type="spellStart"/>
      <w:r w:rsidRPr="0079631A">
        <w:t>Faslodex</w:t>
      </w:r>
      <w:proofErr w:type="spellEnd"/>
      <w:r w:rsidRPr="0079631A">
        <w:t xml:space="preserve"> [package insert]. Wilmington, DE: AstraZeneca Pharmaceuticals LP; January 2021.</w:t>
      </w:r>
    </w:p>
    <w:p w14:paraId="31F93EA6" w14:textId="4276B40D" w:rsidR="00A66724" w:rsidRPr="0079631A" w:rsidRDefault="00A66724" w:rsidP="0079631A">
      <w:pPr>
        <w:pStyle w:val="ReferenceOrdered"/>
      </w:pPr>
      <w:proofErr w:type="spellStart"/>
      <w:r w:rsidRPr="0079631A">
        <w:t>Fulvestrant</w:t>
      </w:r>
      <w:proofErr w:type="spellEnd"/>
      <w:r w:rsidRPr="0079631A">
        <w:t xml:space="preserve"> [package insert]. Princeton, NJ: Sandoz Inc.; </w:t>
      </w:r>
      <w:r w:rsidR="007B2B5C">
        <w:t>September</w:t>
      </w:r>
      <w:r w:rsidRPr="0079631A">
        <w:t xml:space="preserve"> 202</w:t>
      </w:r>
      <w:r w:rsidR="007B2B5C">
        <w:t>2</w:t>
      </w:r>
      <w:r w:rsidRPr="0079631A">
        <w:t>.</w:t>
      </w:r>
    </w:p>
    <w:p w14:paraId="106AD92E" w14:textId="3F189F0A" w:rsidR="00A66724" w:rsidRPr="0079631A" w:rsidRDefault="00A66724" w:rsidP="0079631A">
      <w:pPr>
        <w:pStyle w:val="ReferenceOrdered"/>
      </w:pPr>
      <w:r w:rsidRPr="0079631A">
        <w:t>The NCCN Drugs &amp; Biologics Compendium® © 202</w:t>
      </w:r>
      <w:r w:rsidR="007B2B5C">
        <w:t>4</w:t>
      </w:r>
      <w:r w:rsidRPr="0079631A">
        <w:t xml:space="preserve"> National Comprehensive Cancer Network, Inc. Available at: http://www.nccn.org. Accessed November 7, 202</w:t>
      </w:r>
      <w:r w:rsidR="007B2B5C">
        <w:t>4</w:t>
      </w:r>
      <w:r w:rsidRPr="0079631A">
        <w:t>.</w:t>
      </w:r>
    </w:p>
    <w:sectPr w:rsidR="00A66724" w:rsidRPr="0079631A" w:rsidSect="006613D2">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DBFE0" w14:textId="77777777" w:rsidR="00EA7391" w:rsidRDefault="00EA7391">
      <w:r>
        <w:separator/>
      </w:r>
    </w:p>
  </w:endnote>
  <w:endnote w:type="continuationSeparator" w:id="0">
    <w:p w14:paraId="0E18DA38" w14:textId="77777777" w:rsidR="00EA7391" w:rsidRDefault="00EA7391">
      <w:r>
        <w:continuationSeparator/>
      </w:r>
    </w:p>
  </w:endnote>
  <w:endnote w:type="continuationNotice" w:id="1">
    <w:p w14:paraId="24196A70" w14:textId="77777777" w:rsidR="00EA7391" w:rsidRDefault="00EA73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057B7D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35AA6" w:rsidRPr="00635AA6">
      <w:rPr>
        <w:rFonts w:cs="Arial"/>
        <w:noProof/>
        <w:sz w:val="16"/>
        <w:szCs w:val="16"/>
      </w:rPr>
      <w:t>fulvestrant-Faslodex</w:t>
    </w:r>
    <w:r w:rsidR="00635AA6">
      <w:rPr>
        <w:rFonts w:cs="Arial"/>
        <w:noProof/>
        <w:snapToGrid w:val="0"/>
        <w:color w:val="000000"/>
        <w:sz w:val="16"/>
        <w:szCs w:val="16"/>
      </w:rPr>
      <w:t xml:space="preserve"> SGM</w:t>
    </w:r>
    <w:r w:rsidR="00635AA6" w:rsidRPr="00635AA6">
      <w:rPr>
        <w:rFonts w:cs="Arial"/>
        <w:noProof/>
        <w:sz w:val="16"/>
        <w:szCs w:val="16"/>
      </w:rPr>
      <w:t xml:space="preserve"> </w:t>
    </w:r>
    <w:r w:rsidR="00635AA6">
      <w:rPr>
        <w:rFonts w:cs="Arial"/>
        <w:noProof/>
        <w:snapToGrid w:val="0"/>
        <w:color w:val="000000"/>
        <w:sz w:val="16"/>
        <w:szCs w:val="16"/>
      </w:rPr>
      <w:t xml:space="preserve">2903-A </w:t>
    </w:r>
    <w:r w:rsidR="00635AA6" w:rsidRPr="00635AA6">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0C5EBE">
      <w:rPr>
        <w:rFonts w:cs="Arial"/>
        <w:snapToGrid w:val="0"/>
        <w:color w:val="000000"/>
        <w:sz w:val="16"/>
      </w:rPr>
      <w:t>5</w:t>
    </w:r>
    <w:r w:rsidRPr="00EC47B6">
      <w:rPr>
        <w:rFonts w:cs="Arial"/>
        <w:snapToGrid w:val="0"/>
        <w:color w:val="000000"/>
        <w:sz w:val="16"/>
      </w:rPr>
      <w:t xml:space="preserve"> CVS Caremark. All rights reserved.</w:t>
    </w:r>
  </w:p>
  <w:p w14:paraId="61CF5924" w14:textId="21FFAC19"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5983724" w:rsidR="00F75C81" w:rsidRPr="00AA1E6A" w:rsidRDefault="00C36B72" w:rsidP="00611FE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9F8D5F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35AA6" w:rsidRPr="00635AA6">
      <w:rPr>
        <w:rFonts w:cs="Arial"/>
        <w:noProof/>
        <w:sz w:val="16"/>
        <w:szCs w:val="16"/>
      </w:rPr>
      <w:t>fulvestrant-Faslodex</w:t>
    </w:r>
    <w:r w:rsidR="00635AA6">
      <w:rPr>
        <w:rFonts w:cs="Arial"/>
        <w:noProof/>
        <w:snapToGrid w:val="0"/>
        <w:color w:val="000000"/>
        <w:sz w:val="16"/>
        <w:szCs w:val="16"/>
      </w:rPr>
      <w:t xml:space="preserve"> SGM</w:t>
    </w:r>
    <w:r w:rsidR="00635AA6" w:rsidRPr="00635AA6">
      <w:rPr>
        <w:rFonts w:cs="Arial"/>
        <w:noProof/>
        <w:sz w:val="16"/>
        <w:szCs w:val="16"/>
      </w:rPr>
      <w:t xml:space="preserve"> </w:t>
    </w:r>
    <w:r w:rsidR="00635AA6">
      <w:rPr>
        <w:rFonts w:cs="Arial"/>
        <w:noProof/>
        <w:snapToGrid w:val="0"/>
        <w:color w:val="000000"/>
        <w:sz w:val="16"/>
        <w:szCs w:val="16"/>
      </w:rPr>
      <w:t xml:space="preserve">2903-A </w:t>
    </w:r>
    <w:r w:rsidR="00635AA6" w:rsidRPr="00635AA6">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0C5EBE">
      <w:rPr>
        <w:rFonts w:cs="Arial"/>
        <w:snapToGrid w:val="0"/>
        <w:color w:val="000000"/>
        <w:sz w:val="16"/>
      </w:rPr>
      <w:t>5</w:t>
    </w:r>
    <w:r w:rsidRPr="00EC47B6">
      <w:rPr>
        <w:rFonts w:cs="Arial"/>
        <w:snapToGrid w:val="0"/>
        <w:color w:val="000000"/>
        <w:sz w:val="16"/>
      </w:rPr>
      <w:t xml:space="preserve"> CVS Caremark. All rights reserved.</w:t>
    </w:r>
  </w:p>
  <w:p w14:paraId="39BFE579" w14:textId="6AB60DF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55A1681" w:rsidR="00ED04EC" w:rsidRPr="00F50D98" w:rsidRDefault="00F50D98" w:rsidP="00611FE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80231" w14:textId="77777777" w:rsidR="00EA7391" w:rsidRDefault="00EA7391">
      <w:r>
        <w:separator/>
      </w:r>
    </w:p>
  </w:footnote>
  <w:footnote w:type="continuationSeparator" w:id="0">
    <w:p w14:paraId="6833F0D9" w14:textId="77777777" w:rsidR="00EA7391" w:rsidRDefault="00EA7391">
      <w:r>
        <w:continuationSeparator/>
      </w:r>
    </w:p>
  </w:footnote>
  <w:footnote w:type="continuationNotice" w:id="1">
    <w:p w14:paraId="7494F437" w14:textId="77777777" w:rsidR="00EA7391" w:rsidRDefault="00EA73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994FB5" w:rsidRDefault="00ED04EC" w:rsidP="00ED04EC">
          <w:pPr>
            <w:pStyle w:val="Header"/>
            <w:rPr>
              <w:rFonts w:cs="Arial"/>
              <w:sz w:val="16"/>
              <w:szCs w:val="16"/>
            </w:rPr>
          </w:pPr>
          <w:r w:rsidRPr="00994FB5">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2B5FBADE" w:rsidR="00ED04EC" w:rsidRPr="00994FB5" w:rsidRDefault="00E86065" w:rsidP="00ED04EC">
          <w:pPr>
            <w:pStyle w:val="Header"/>
            <w:rPr>
              <w:rFonts w:cs="Arial"/>
              <w:sz w:val="16"/>
              <w:szCs w:val="16"/>
            </w:rPr>
          </w:pPr>
          <w:r w:rsidRPr="00994FB5">
            <w:rPr>
              <w:rFonts w:cs="Arial"/>
              <w:sz w:val="16"/>
              <w:szCs w:val="16"/>
            </w:rPr>
            <w:t>2903-A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6AB05109" w:rsidR="000F5383" w:rsidRPr="00FF66BF" w:rsidRDefault="00E86065" w:rsidP="009E1F57">
          <w:pPr>
            <w:pStyle w:val="RefTableHeader"/>
          </w:pPr>
          <w:r>
            <w:t>2903-A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EC1458"/>
    <w:multiLevelType w:val="hybridMultilevel"/>
    <w:tmpl w:val="6CAA3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4575DA1"/>
    <w:multiLevelType w:val="hybridMultilevel"/>
    <w:tmpl w:val="633417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8"/>
  </w:num>
  <w:num w:numId="18" w16cid:durableId="299724409">
    <w:abstractNumId w:val="22"/>
  </w:num>
  <w:num w:numId="19" w16cid:durableId="214585573">
    <w:abstractNumId w:val="14"/>
  </w:num>
  <w:num w:numId="20" w16cid:durableId="1289816170">
    <w:abstractNumId w:val="15"/>
  </w:num>
  <w:num w:numId="21" w16cid:durableId="1066490929">
    <w:abstractNumId w:val="29"/>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1316912503">
    <w:abstractNumId w:val="11"/>
  </w:num>
  <w:num w:numId="29" w16cid:durableId="1398280073">
    <w:abstractNumId w:val="16"/>
  </w:num>
  <w:num w:numId="30" w16cid:durableId="1195311900">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0C52"/>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2A7"/>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5D8"/>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5EBE"/>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562"/>
    <w:rsid w:val="00103E4B"/>
    <w:rsid w:val="00103E71"/>
    <w:rsid w:val="00104849"/>
    <w:rsid w:val="0010527A"/>
    <w:rsid w:val="001054B4"/>
    <w:rsid w:val="00105956"/>
    <w:rsid w:val="00107394"/>
    <w:rsid w:val="001074E7"/>
    <w:rsid w:val="001075C1"/>
    <w:rsid w:val="00107B1D"/>
    <w:rsid w:val="00107C09"/>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1CF2"/>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AA9"/>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6FC"/>
    <w:rsid w:val="002A1A1C"/>
    <w:rsid w:val="002A245D"/>
    <w:rsid w:val="002A3686"/>
    <w:rsid w:val="002A3CC2"/>
    <w:rsid w:val="002A529C"/>
    <w:rsid w:val="002A58FA"/>
    <w:rsid w:val="002A6A4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447"/>
    <w:rsid w:val="00393451"/>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D8B"/>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31B0"/>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C39"/>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12"/>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3F30"/>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7E1"/>
    <w:rsid w:val="00607959"/>
    <w:rsid w:val="0060798E"/>
    <w:rsid w:val="00610F93"/>
    <w:rsid w:val="00610FBE"/>
    <w:rsid w:val="00611FE9"/>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5AA6"/>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3D2"/>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4B53"/>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EA1"/>
    <w:rsid w:val="006E3F80"/>
    <w:rsid w:val="006E423D"/>
    <w:rsid w:val="006E4C56"/>
    <w:rsid w:val="006E53FA"/>
    <w:rsid w:val="006E55CD"/>
    <w:rsid w:val="006E7677"/>
    <w:rsid w:val="006E7E43"/>
    <w:rsid w:val="006E7FCD"/>
    <w:rsid w:val="006F004B"/>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2EE"/>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0C06"/>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1A"/>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2B5C"/>
    <w:rsid w:val="007B3C6A"/>
    <w:rsid w:val="007B41A6"/>
    <w:rsid w:val="007B4652"/>
    <w:rsid w:val="007B4FD7"/>
    <w:rsid w:val="007B5F56"/>
    <w:rsid w:val="007B7B09"/>
    <w:rsid w:val="007B7C01"/>
    <w:rsid w:val="007C0B49"/>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0F0F"/>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011"/>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5F58"/>
    <w:rsid w:val="009767B4"/>
    <w:rsid w:val="009769E6"/>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FB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0D70"/>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2CCF"/>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3164"/>
    <w:rsid w:val="00A53188"/>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724"/>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58C8"/>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3EB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17CDB"/>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6DD"/>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3D9"/>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5CD8"/>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BF9"/>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AB8"/>
    <w:rsid w:val="00D21D0C"/>
    <w:rsid w:val="00D2332E"/>
    <w:rsid w:val="00D24201"/>
    <w:rsid w:val="00D24AC3"/>
    <w:rsid w:val="00D24F0F"/>
    <w:rsid w:val="00D24F6F"/>
    <w:rsid w:val="00D25BE2"/>
    <w:rsid w:val="00D26363"/>
    <w:rsid w:val="00D271C2"/>
    <w:rsid w:val="00D30248"/>
    <w:rsid w:val="00D30A4B"/>
    <w:rsid w:val="00D314DB"/>
    <w:rsid w:val="00D31A54"/>
    <w:rsid w:val="00D32480"/>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130D"/>
    <w:rsid w:val="00DA29A1"/>
    <w:rsid w:val="00DA2BE1"/>
    <w:rsid w:val="00DA2D15"/>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176C4"/>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6A2"/>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5226"/>
    <w:rsid w:val="00E86065"/>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A7391"/>
    <w:rsid w:val="00EB0299"/>
    <w:rsid w:val="00EB163B"/>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04E"/>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42D5"/>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272406">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29544074">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7339223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789007086">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35804416">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1999992579">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3FDF0642-721F-4701-968F-5EEC2507B186}"/>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417</Words>
  <Characters>2684</Characters>
  <Application>Microsoft Office Word</Application>
  <DocSecurity>0</DocSecurity>
  <Lines>63</Lines>
  <Paragraphs>49</Paragraphs>
  <ScaleCrop>false</ScaleCrop>
  <HeadingPairs>
    <vt:vector size="2" baseType="variant">
      <vt:variant>
        <vt:lpstr>Title</vt:lpstr>
      </vt:variant>
      <vt:variant>
        <vt:i4>1</vt:i4>
      </vt:variant>
    </vt:vector>
  </HeadingPairs>
  <TitlesOfParts>
    <vt:vector size="1" baseType="lpstr">
      <vt:lpstr>fulvestrant-Faslodex 2903-A SGM 2024</vt:lpstr>
    </vt:vector>
  </TitlesOfParts>
  <Company>PCS Health Systems</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fulvestrant-Faslodex SGM 2903-A</dc:title>
  <dc:subject/>
  <dc:creator>CVS Caremark</dc:creator>
  <cp:keywords/>
  <cp:lastModifiedBy>Huerta, Linda M</cp:lastModifiedBy>
  <cp:revision>4</cp:revision>
  <cp:lastPrinted>2018-01-09T05:01:00Z</cp:lastPrinted>
  <dcterms:created xsi:type="dcterms:W3CDTF">2025-04-22T19:01:00Z</dcterms:created>
  <dcterms:modified xsi:type="dcterms:W3CDTF">2025-04-22T19:03:00Z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1442400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